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A5E15" w14:textId="77777777" w:rsidR="007C0DF2" w:rsidRPr="00A90057" w:rsidRDefault="0066604C" w:rsidP="003D5A22">
      <w:pPr>
        <w:jc w:val="center"/>
        <w:rPr>
          <w:rFonts w:ascii="Arial" w:hAnsi="Arial" w:cs="Arial"/>
          <w:u w:val="single"/>
        </w:rPr>
      </w:pPr>
      <w:r w:rsidRPr="00A90057">
        <w:rPr>
          <w:rFonts w:ascii="Arial" w:hAnsi="Arial" w:cs="Arial"/>
          <w:u w:val="single"/>
        </w:rPr>
        <w:t>Summary</w:t>
      </w:r>
      <w:r w:rsidR="0078569A">
        <w:rPr>
          <w:rFonts w:ascii="Arial" w:hAnsi="Arial" w:cs="Arial"/>
          <w:u w:val="single"/>
        </w:rPr>
        <w:t xml:space="preserve"> Information on Quality</w:t>
      </w:r>
      <w:r w:rsidRPr="00A90057">
        <w:rPr>
          <w:rFonts w:ascii="Arial" w:hAnsi="Arial" w:cs="Arial"/>
          <w:u w:val="single"/>
        </w:rPr>
        <w:t xml:space="preserve"> of Execution</w:t>
      </w:r>
    </w:p>
    <w:p w14:paraId="102A0081" w14:textId="1B7E8C9B" w:rsidR="00635761" w:rsidRDefault="00635761" w:rsidP="006D5EDC">
      <w:pPr>
        <w:pStyle w:val="Default"/>
        <w:rPr>
          <w:rFonts w:ascii="Arial" w:hAnsi="Arial" w:cs="Arial"/>
        </w:rPr>
      </w:pPr>
      <w:r w:rsidRPr="002D0BEC">
        <w:rPr>
          <w:rFonts w:ascii="Arial" w:hAnsi="Arial" w:cs="Arial"/>
        </w:rPr>
        <w:t xml:space="preserve">In accordance with </w:t>
      </w:r>
      <w:r w:rsidR="00215934">
        <w:rPr>
          <w:rFonts w:ascii="Arial" w:hAnsi="Arial" w:cs="Arial"/>
        </w:rPr>
        <w:t xml:space="preserve">and </w:t>
      </w:r>
      <w:r w:rsidRPr="002D0BEC">
        <w:rPr>
          <w:rFonts w:ascii="Arial" w:hAnsi="Arial" w:cs="Arial"/>
        </w:rPr>
        <w:t xml:space="preserve">required by the </w:t>
      </w:r>
      <w:r w:rsidR="006D5EDC" w:rsidRPr="006D5EDC">
        <w:rPr>
          <w:rFonts w:ascii="Arial" w:hAnsi="Arial" w:cs="Arial"/>
        </w:rPr>
        <w:t>European Union Markets in Financial Instruments Directive 2014/65/EU (“MiFID II”) and the rules of the Central Bank of Ireland (“CBOI”)</w:t>
      </w:r>
      <w:r w:rsidRPr="006D5EDC">
        <w:rPr>
          <w:rFonts w:ascii="Arial" w:hAnsi="Arial" w:cs="Arial"/>
        </w:rPr>
        <w:t>, please find below, for each class of financial instrument, a summary of</w:t>
      </w:r>
      <w:r w:rsidRPr="002D0BEC">
        <w:rPr>
          <w:rFonts w:ascii="Arial" w:hAnsi="Arial" w:cs="Arial"/>
        </w:rPr>
        <w:t xml:space="preserve"> the analysis and conclusions drawn by </w:t>
      </w:r>
      <w:r w:rsidR="006D5EDC">
        <w:rPr>
          <w:rFonts w:ascii="Arial" w:hAnsi="Arial" w:cs="Arial"/>
        </w:rPr>
        <w:t>TD Global Finance unlimited company</w:t>
      </w:r>
      <w:r w:rsidRPr="002D0BEC">
        <w:rPr>
          <w:rFonts w:ascii="Arial" w:hAnsi="Arial" w:cs="Arial"/>
        </w:rPr>
        <w:t xml:space="preserve"> </w:t>
      </w:r>
      <w:r w:rsidR="006D5EDC">
        <w:rPr>
          <w:rFonts w:ascii="Arial" w:hAnsi="Arial" w:cs="Arial"/>
        </w:rPr>
        <w:t>("TDGF")</w:t>
      </w:r>
      <w:r w:rsidRPr="002D0BEC">
        <w:rPr>
          <w:rFonts w:ascii="Arial" w:hAnsi="Arial" w:cs="Arial"/>
        </w:rPr>
        <w:t xml:space="preserve">from its monitoring of the quality of execution obtained on the execution venues where </w:t>
      </w:r>
      <w:r w:rsidR="006D5EDC">
        <w:rPr>
          <w:rFonts w:ascii="Arial" w:hAnsi="Arial" w:cs="Arial"/>
        </w:rPr>
        <w:t>TDGF</w:t>
      </w:r>
      <w:r w:rsidRPr="002D0BEC">
        <w:rPr>
          <w:rFonts w:ascii="Arial" w:hAnsi="Arial" w:cs="Arial"/>
        </w:rPr>
        <w:t xml:space="preserve"> executed all client orders in the period indicated (RTS 28 reports).</w:t>
      </w:r>
    </w:p>
    <w:p w14:paraId="35C781AA" w14:textId="77777777" w:rsidR="006D5EDC" w:rsidRPr="00A90057" w:rsidRDefault="006D5EDC" w:rsidP="006D5EDC">
      <w:pPr>
        <w:pStyle w:val="Default"/>
        <w:rPr>
          <w:rFonts w:ascii="Arial" w:hAnsi="Arial" w:cs="Arial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5732"/>
      </w:tblGrid>
      <w:tr w:rsidR="0066604C" w:rsidRPr="00A90057" w14:paraId="08A2463A" w14:textId="77777777" w:rsidTr="0066604C">
        <w:tc>
          <w:tcPr>
            <w:tcW w:w="3510" w:type="dxa"/>
          </w:tcPr>
          <w:p w14:paraId="6C071BF4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 xml:space="preserve">Class of </w:t>
            </w:r>
            <w:r w:rsidR="0078569A">
              <w:rPr>
                <w:rFonts w:ascii="Arial" w:hAnsi="Arial" w:cs="Arial"/>
              </w:rPr>
              <w:t>f</w:t>
            </w:r>
            <w:r w:rsidRPr="00A90057">
              <w:rPr>
                <w:rFonts w:ascii="Arial" w:hAnsi="Arial" w:cs="Arial"/>
              </w:rPr>
              <w:t xml:space="preserve">inancial </w:t>
            </w:r>
            <w:r w:rsidR="0078569A">
              <w:rPr>
                <w:rFonts w:ascii="Arial" w:hAnsi="Arial" w:cs="Arial"/>
              </w:rPr>
              <w:t>i</w:t>
            </w:r>
            <w:r w:rsidRPr="00A90057">
              <w:rPr>
                <w:rFonts w:ascii="Arial" w:hAnsi="Arial" w:cs="Arial"/>
              </w:rPr>
              <w:t>nstrument</w:t>
            </w:r>
          </w:p>
        </w:tc>
        <w:tc>
          <w:tcPr>
            <w:tcW w:w="5732" w:type="dxa"/>
          </w:tcPr>
          <w:p w14:paraId="67C8423F" w14:textId="6215F927" w:rsidR="0066604C" w:rsidRPr="00A90057" w:rsidRDefault="006D5EDC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Interest Rate </w:t>
            </w:r>
            <w:r w:rsidR="005A2FDD" w:rsidRPr="005A2FDD">
              <w:rPr>
                <w:rFonts w:ascii="Arial" w:hAnsi="Arial" w:cs="Arial"/>
              </w:rPr>
              <w:t xml:space="preserve">Derivatives - Swaps, </w:t>
            </w:r>
            <w:r>
              <w:rPr>
                <w:rFonts w:ascii="Arial" w:hAnsi="Arial" w:cs="Arial"/>
              </w:rPr>
              <w:t>cross currency and other instruments</w:t>
            </w:r>
          </w:p>
        </w:tc>
      </w:tr>
      <w:tr w:rsidR="0066604C" w:rsidRPr="00A90057" w14:paraId="664E2749" w14:textId="77777777" w:rsidTr="0066604C">
        <w:tc>
          <w:tcPr>
            <w:tcW w:w="3510" w:type="dxa"/>
          </w:tcPr>
          <w:p w14:paraId="546CE2A8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Period covered by report</w:t>
            </w:r>
          </w:p>
        </w:tc>
        <w:tc>
          <w:tcPr>
            <w:tcW w:w="5732" w:type="dxa"/>
          </w:tcPr>
          <w:p w14:paraId="70401AB9" w14:textId="685CFD7A" w:rsidR="0066604C" w:rsidRPr="00A90057" w:rsidRDefault="00417BD0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01/01/202</w:t>
            </w:r>
            <w:r w:rsidR="0039664F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-31/12/202</w:t>
            </w:r>
            <w:r w:rsidR="0039664F">
              <w:rPr>
                <w:rFonts w:ascii="Arial" w:hAnsi="Arial" w:cs="Arial"/>
              </w:rPr>
              <w:t>2</w:t>
            </w:r>
          </w:p>
        </w:tc>
      </w:tr>
      <w:tr w:rsidR="0066604C" w:rsidRPr="00A90057" w14:paraId="26AEB921" w14:textId="77777777" w:rsidTr="0066604C">
        <w:tc>
          <w:tcPr>
            <w:tcW w:w="3510" w:type="dxa"/>
          </w:tcPr>
          <w:p w14:paraId="5F4613ED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Relative importance of execution factors</w:t>
            </w:r>
          </w:p>
        </w:tc>
        <w:tc>
          <w:tcPr>
            <w:tcW w:w="5732" w:type="dxa"/>
          </w:tcPr>
          <w:p w14:paraId="1E776755" w14:textId="622A6168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 xml:space="preserve">Please refer to Annex II of </w:t>
            </w:r>
            <w:r w:rsidR="00EA3819">
              <w:rPr>
                <w:rFonts w:ascii="Arial" w:hAnsi="Arial" w:cs="Arial"/>
              </w:rPr>
              <w:t>TDGF's</w:t>
            </w:r>
            <w:r w:rsidRPr="00A90057">
              <w:rPr>
                <w:rFonts w:ascii="Arial" w:hAnsi="Arial" w:cs="Arial"/>
              </w:rPr>
              <w:t xml:space="preserve"> Best Execution Policy</w:t>
            </w:r>
            <w:r w:rsidR="0078569A">
              <w:rPr>
                <w:rFonts w:ascii="Arial" w:hAnsi="Arial" w:cs="Arial"/>
              </w:rPr>
              <w:t>,</w:t>
            </w:r>
            <w:r w:rsidRPr="00A90057">
              <w:rPr>
                <w:rFonts w:ascii="Arial" w:hAnsi="Arial" w:cs="Arial"/>
              </w:rPr>
              <w:t xml:space="preserve"> available at:</w:t>
            </w:r>
          </w:p>
          <w:p w14:paraId="65C3E17F" w14:textId="25EB155A" w:rsidR="0066604C" w:rsidRPr="00A90057" w:rsidRDefault="00215934" w:rsidP="0066604C">
            <w:pPr>
              <w:rPr>
                <w:rFonts w:ascii="Arial" w:hAnsi="Arial" w:cs="Arial"/>
              </w:rPr>
            </w:pPr>
            <w:hyperlink r:id="rId7" w:history="1">
              <w:r w:rsidR="00EA3819" w:rsidRPr="00EB6D8B">
                <w:rPr>
                  <w:rStyle w:val="Hyperlink"/>
                </w:rPr>
                <w:t>https://www.tdsecurities.com/tds/document/Best-Execution-Policy-TDGF</w:t>
              </w:r>
            </w:hyperlink>
            <w:r w:rsidR="00EA3819">
              <w:t xml:space="preserve"> </w:t>
            </w:r>
          </w:p>
        </w:tc>
      </w:tr>
      <w:tr w:rsidR="0066604C" w:rsidRPr="00A90057" w14:paraId="4C604AA7" w14:textId="77777777" w:rsidTr="0066604C">
        <w:tc>
          <w:tcPr>
            <w:tcW w:w="3510" w:type="dxa"/>
          </w:tcPr>
          <w:p w14:paraId="1800E15C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Close links, conflicts of interest and common ownership with venues</w:t>
            </w:r>
          </w:p>
        </w:tc>
        <w:tc>
          <w:tcPr>
            <w:tcW w:w="5732" w:type="dxa"/>
          </w:tcPr>
          <w:p w14:paraId="74D24D00" w14:textId="3A1F5577" w:rsidR="0066604C" w:rsidRPr="00A90057" w:rsidRDefault="00432C35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 xml:space="preserve">None. For further </w:t>
            </w:r>
            <w:r w:rsidR="00536B21">
              <w:rPr>
                <w:rFonts w:ascii="Arial" w:hAnsi="Arial" w:cs="Arial"/>
              </w:rPr>
              <w:t xml:space="preserve">is detailed in TDGF's </w:t>
            </w:r>
            <w:r w:rsidRPr="00A90057">
              <w:rPr>
                <w:rFonts w:ascii="Arial" w:hAnsi="Arial" w:cs="Arial"/>
              </w:rPr>
              <w:t>Conflicts of Interest Policy</w:t>
            </w:r>
            <w:r w:rsidR="00536B21">
              <w:rPr>
                <w:rFonts w:ascii="Arial" w:hAnsi="Arial" w:cs="Arial"/>
              </w:rPr>
              <w:t>.</w:t>
            </w:r>
          </w:p>
          <w:p w14:paraId="42E0FD40" w14:textId="5F1E9430" w:rsidR="00432C35" w:rsidRPr="00A90057" w:rsidRDefault="00432C35" w:rsidP="00DF3260">
            <w:pPr>
              <w:rPr>
                <w:rFonts w:ascii="Arial" w:hAnsi="Arial" w:cs="Arial"/>
              </w:rPr>
            </w:pPr>
          </w:p>
        </w:tc>
      </w:tr>
      <w:tr w:rsidR="0066604C" w:rsidRPr="00A90057" w14:paraId="47FD6C48" w14:textId="77777777" w:rsidTr="0066604C">
        <w:tc>
          <w:tcPr>
            <w:tcW w:w="3510" w:type="dxa"/>
          </w:tcPr>
          <w:p w14:paraId="251CD0AC" w14:textId="77777777" w:rsidR="0066604C" w:rsidRPr="00A90057" w:rsidRDefault="00432C35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Specific arrangements with regard to payments and rebates</w:t>
            </w:r>
          </w:p>
        </w:tc>
        <w:tc>
          <w:tcPr>
            <w:tcW w:w="5732" w:type="dxa"/>
          </w:tcPr>
          <w:p w14:paraId="5D7E0E74" w14:textId="77777777" w:rsidR="0066604C" w:rsidRPr="00A90057" w:rsidRDefault="00DF326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None</w:t>
            </w:r>
          </w:p>
        </w:tc>
      </w:tr>
      <w:tr w:rsidR="0066604C" w:rsidRPr="00A90057" w14:paraId="01AEE4AD" w14:textId="77777777" w:rsidTr="0066604C">
        <w:tc>
          <w:tcPr>
            <w:tcW w:w="3510" w:type="dxa"/>
          </w:tcPr>
          <w:p w14:paraId="602FCE76" w14:textId="77777777" w:rsidR="0066604C" w:rsidRPr="00A90057" w:rsidRDefault="00D55C8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Changes to listed execution venues</w:t>
            </w:r>
          </w:p>
        </w:tc>
        <w:tc>
          <w:tcPr>
            <w:tcW w:w="5732" w:type="dxa"/>
          </w:tcPr>
          <w:p w14:paraId="25106993" w14:textId="77777777" w:rsidR="0066604C" w:rsidRPr="00A90057" w:rsidRDefault="00D55C8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None</w:t>
            </w:r>
          </w:p>
        </w:tc>
      </w:tr>
      <w:tr w:rsidR="0066604C" w:rsidRPr="00A90057" w14:paraId="0C74EC4E" w14:textId="77777777" w:rsidTr="0066604C">
        <w:tc>
          <w:tcPr>
            <w:tcW w:w="3510" w:type="dxa"/>
          </w:tcPr>
          <w:p w14:paraId="2D878422" w14:textId="77777777" w:rsidR="0066604C" w:rsidRPr="00A90057" w:rsidRDefault="00D55C8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Impact of client categorisation on order execution</w:t>
            </w:r>
          </w:p>
        </w:tc>
        <w:tc>
          <w:tcPr>
            <w:tcW w:w="5732" w:type="dxa"/>
          </w:tcPr>
          <w:p w14:paraId="630686F9" w14:textId="1F3CF6CA" w:rsidR="009E06A6" w:rsidRPr="00A90057" w:rsidRDefault="009E06A6" w:rsidP="006D5EDC">
            <w:pPr>
              <w:jc w:val="both"/>
              <w:rPr>
                <w:rFonts w:ascii="Arial" w:hAnsi="Arial" w:cs="Arial"/>
              </w:rPr>
            </w:pPr>
            <w:r w:rsidRPr="009E06A6">
              <w:rPr>
                <w:rFonts w:ascii="Arial" w:hAnsi="Arial" w:cs="Arial"/>
              </w:rPr>
              <w:t>TD</w:t>
            </w:r>
            <w:r w:rsidR="006D5EDC">
              <w:rPr>
                <w:rFonts w:ascii="Arial" w:hAnsi="Arial" w:cs="Arial"/>
              </w:rPr>
              <w:t>GF</w:t>
            </w:r>
            <w:r w:rsidRPr="009E06A6">
              <w:rPr>
                <w:rFonts w:ascii="Arial" w:hAnsi="Arial" w:cs="Arial"/>
              </w:rPr>
              <w:t xml:space="preserve"> is required to provide best execution when executing a client’s order or providing a quote, the relative importance of the best execution factors may be determined by reference to the classification of the client (Professional or an Eligible Count</w:t>
            </w:r>
            <w:r>
              <w:rPr>
                <w:rFonts w:ascii="Arial" w:hAnsi="Arial" w:cs="Arial"/>
              </w:rPr>
              <w:t xml:space="preserve">erparty), among other factors. </w:t>
            </w:r>
            <w:r w:rsidR="006D5EDC"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is required to provide Professional Clients best execution when dealing with their order or request for quote in relation to a MiFID II financial instrument, and </w:t>
            </w:r>
            <w:r w:rsidR="006D5EDC"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is executing on behalf of the client. </w:t>
            </w:r>
            <w:r w:rsidR="006D5EDC"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is not obliged to provide the best execution to a client classified as an “Eligible Counterparty”, and </w:t>
            </w:r>
            <w:r w:rsidR="006D5EDC"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is not permitted to deal with “Retail Clients”. Further information about how </w:t>
            </w:r>
            <w:r w:rsidR="006D5EDC"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provides best execution can be found in its Best Execu</w:t>
            </w:r>
            <w:r>
              <w:rPr>
                <w:rFonts w:ascii="Arial" w:hAnsi="Arial" w:cs="Arial"/>
              </w:rPr>
              <w:t>tion Policy</w:t>
            </w:r>
            <w:r w:rsidR="00EA3819">
              <w:rPr>
                <w:rFonts w:ascii="Arial" w:hAnsi="Arial" w:cs="Arial"/>
              </w:rPr>
              <w:t xml:space="preserve"> which is available here </w:t>
            </w:r>
            <w:hyperlink r:id="rId8" w:history="1">
              <w:r w:rsidR="00EA3819" w:rsidRPr="00EB6D8B">
                <w:rPr>
                  <w:rStyle w:val="Hyperlink"/>
                </w:rPr>
                <w:t>https://www.tdsecurities.com/tds/document/Best-Execution-Policy-TDGF</w:t>
              </w:r>
            </w:hyperlink>
            <w:r w:rsidR="006D5EDC">
              <w:rPr>
                <w:rFonts w:ascii="Arial" w:hAnsi="Arial" w:cs="Arial"/>
              </w:rPr>
              <w:t>.</w:t>
            </w:r>
          </w:p>
        </w:tc>
      </w:tr>
      <w:tr w:rsidR="0066604C" w:rsidRPr="00A90057" w14:paraId="24AC7B3A" w14:textId="77777777" w:rsidTr="0066604C">
        <w:tc>
          <w:tcPr>
            <w:tcW w:w="3510" w:type="dxa"/>
          </w:tcPr>
          <w:p w14:paraId="7C9A2ABF" w14:textId="77777777" w:rsidR="0066604C" w:rsidRPr="00A90057" w:rsidRDefault="003D5A22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Use of data or tools relating to quality of execution</w:t>
            </w:r>
          </w:p>
        </w:tc>
        <w:tc>
          <w:tcPr>
            <w:tcW w:w="5732" w:type="dxa"/>
          </w:tcPr>
          <w:p w14:paraId="4166ED5A" w14:textId="64B64595" w:rsidR="0066604C" w:rsidRPr="00A90057" w:rsidRDefault="006D5EDC" w:rsidP="00AF28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TDGF</w:t>
            </w:r>
            <w:r w:rsidR="003D5A22" w:rsidRPr="00A90057">
              <w:rPr>
                <w:rFonts w:ascii="Arial" w:hAnsi="Arial" w:cs="Arial"/>
              </w:rPr>
              <w:t xml:space="preserve"> will utilise a variety of available market data in pricing </w:t>
            </w:r>
            <w:r w:rsidR="00AF28D6" w:rsidRPr="00A90057">
              <w:rPr>
                <w:rFonts w:ascii="Arial" w:hAnsi="Arial" w:cs="Arial"/>
              </w:rPr>
              <w:t xml:space="preserve">the </w:t>
            </w:r>
            <w:r w:rsidR="003D5A22" w:rsidRPr="00A90057">
              <w:rPr>
                <w:rFonts w:ascii="Arial" w:hAnsi="Arial" w:cs="Arial"/>
              </w:rPr>
              <w:t xml:space="preserve">instruments it trades. </w:t>
            </w:r>
            <w:r>
              <w:rPr>
                <w:rFonts w:ascii="Arial" w:hAnsi="Arial" w:cs="Arial"/>
              </w:rPr>
              <w:t>TDGF</w:t>
            </w:r>
            <w:r w:rsidR="003D5A22" w:rsidRPr="00A90057">
              <w:rPr>
                <w:rFonts w:ascii="Arial" w:hAnsi="Arial" w:cs="Arial"/>
              </w:rPr>
              <w:t xml:space="preserve"> will utilise market data in the monitoring and review of the quality of execution it provided to clients as is appropriate. </w:t>
            </w:r>
            <w:r>
              <w:rPr>
                <w:rFonts w:ascii="Arial" w:hAnsi="Arial" w:cs="Arial"/>
              </w:rPr>
              <w:t>TDGF</w:t>
            </w:r>
            <w:r w:rsidR="003D5A22" w:rsidRPr="00A90057">
              <w:rPr>
                <w:rFonts w:ascii="Arial" w:hAnsi="Arial" w:cs="Arial"/>
              </w:rPr>
              <w:t xml:space="preserve"> does not currently make use of data published under MiFID II </w:t>
            </w:r>
            <w:r>
              <w:rPr>
                <w:rFonts w:ascii="Arial" w:hAnsi="Arial" w:cs="Arial"/>
              </w:rPr>
              <w:t>Directive</w:t>
            </w:r>
            <w:r w:rsidR="003D5A22" w:rsidRPr="00A90057">
              <w:rPr>
                <w:rFonts w:ascii="Arial" w:hAnsi="Arial" w:cs="Arial"/>
              </w:rPr>
              <w:t xml:space="preserve"> </w:t>
            </w:r>
            <w:r w:rsidRPr="006D5EDC">
              <w:rPr>
                <w:rFonts w:ascii="Arial" w:hAnsi="Arial" w:cs="Arial"/>
                <w:color w:val="000000"/>
                <w:sz w:val="24"/>
                <w:szCs w:val="24"/>
              </w:rPr>
              <w:t>2014/65/EU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3D5A22" w:rsidRPr="00A90057" w14:paraId="211A50E9" w14:textId="77777777" w:rsidTr="0066604C">
        <w:tc>
          <w:tcPr>
            <w:tcW w:w="3510" w:type="dxa"/>
          </w:tcPr>
          <w:p w14:paraId="08001845" w14:textId="77777777" w:rsidR="003D5A22" w:rsidRPr="00A90057" w:rsidRDefault="003D5A22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Use of a consolidated tape provider</w:t>
            </w:r>
          </w:p>
        </w:tc>
        <w:tc>
          <w:tcPr>
            <w:tcW w:w="5732" w:type="dxa"/>
          </w:tcPr>
          <w:p w14:paraId="06AFCB63" w14:textId="77777777" w:rsidR="003D5A22" w:rsidRPr="00A90057" w:rsidRDefault="003D5A22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Not applicable</w:t>
            </w:r>
          </w:p>
        </w:tc>
      </w:tr>
    </w:tbl>
    <w:p w14:paraId="099EBA1D" w14:textId="77777777" w:rsidR="0066604C" w:rsidRPr="00A90057" w:rsidRDefault="0066604C">
      <w:pPr>
        <w:rPr>
          <w:rFonts w:ascii="Arial" w:hAnsi="Arial" w:cs="Arial"/>
        </w:rPr>
      </w:pPr>
    </w:p>
    <w:p w14:paraId="2956983E" w14:textId="77777777" w:rsidR="003D5A22" w:rsidRPr="00A90057" w:rsidRDefault="00191E5B" w:rsidP="003D5A22">
      <w:pPr>
        <w:jc w:val="both"/>
        <w:rPr>
          <w:rFonts w:ascii="Arial" w:hAnsi="Arial" w:cs="Arial"/>
        </w:rPr>
      </w:pPr>
      <w:r w:rsidRPr="00A90057">
        <w:rPr>
          <w:rFonts w:ascii="Arial" w:hAnsi="Arial" w:cs="Arial"/>
        </w:rPr>
        <w:t xml:space="preserve">Please note </w:t>
      </w:r>
      <w:r w:rsidR="003D5A22" w:rsidRPr="00A90057">
        <w:rPr>
          <w:rFonts w:ascii="Arial" w:hAnsi="Arial" w:cs="Arial"/>
        </w:rPr>
        <w:t xml:space="preserve">the </w:t>
      </w:r>
      <w:r w:rsidR="003C4CC0">
        <w:rPr>
          <w:rFonts w:ascii="Arial" w:hAnsi="Arial" w:cs="Arial"/>
        </w:rPr>
        <w:t xml:space="preserve">qualitative </w:t>
      </w:r>
      <w:r w:rsidR="003D5A22" w:rsidRPr="00A90057">
        <w:rPr>
          <w:rFonts w:ascii="Arial" w:hAnsi="Arial" w:cs="Arial"/>
        </w:rPr>
        <w:t xml:space="preserve">information </w:t>
      </w:r>
      <w:r w:rsidR="003C4CC0">
        <w:rPr>
          <w:rFonts w:ascii="Arial" w:hAnsi="Arial" w:cs="Arial"/>
        </w:rPr>
        <w:t>is</w:t>
      </w:r>
      <w:r w:rsidR="003C4CC0" w:rsidRPr="00A90057">
        <w:rPr>
          <w:rFonts w:ascii="Arial" w:hAnsi="Arial" w:cs="Arial"/>
        </w:rPr>
        <w:t xml:space="preserve"> </w:t>
      </w:r>
      <w:r w:rsidR="003D5A22" w:rsidRPr="00A90057">
        <w:rPr>
          <w:rFonts w:ascii="Arial" w:hAnsi="Arial" w:cs="Arial"/>
        </w:rPr>
        <w:t xml:space="preserve">provided on a consolidated basis </w:t>
      </w:r>
      <w:r w:rsidR="003C4CC0">
        <w:rPr>
          <w:rFonts w:ascii="Arial" w:hAnsi="Arial" w:cs="Arial"/>
        </w:rPr>
        <w:t xml:space="preserve">across </w:t>
      </w:r>
      <w:r w:rsidR="003D5A22" w:rsidRPr="00A90057">
        <w:rPr>
          <w:rFonts w:ascii="Arial" w:hAnsi="Arial" w:cs="Arial"/>
        </w:rPr>
        <w:t>all classes of financ</w:t>
      </w:r>
      <w:r w:rsidR="00264B4E" w:rsidRPr="00A90057">
        <w:rPr>
          <w:rFonts w:ascii="Arial" w:hAnsi="Arial" w:cs="Arial"/>
        </w:rPr>
        <w:t xml:space="preserve">ial instruments. </w:t>
      </w:r>
    </w:p>
    <w:sectPr w:rsidR="003D5A22" w:rsidRPr="00A90057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70D92" w14:textId="77777777" w:rsidR="00BC5A61" w:rsidRDefault="00BC5A61" w:rsidP="00BC5A61">
      <w:pPr>
        <w:spacing w:after="0" w:line="240" w:lineRule="auto"/>
      </w:pPr>
      <w:r>
        <w:separator/>
      </w:r>
    </w:p>
  </w:endnote>
  <w:endnote w:type="continuationSeparator" w:id="0">
    <w:p w14:paraId="797FC388" w14:textId="77777777" w:rsidR="00BC5A61" w:rsidRDefault="00BC5A61" w:rsidP="00BC5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21795" w14:textId="77777777" w:rsidR="00BC5A61" w:rsidRDefault="00BC5A6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E3F9DD0" wp14:editId="7996163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f574fceb02ae97bac468213" descr="{&quot;HashCode&quot;:43920731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DE49A5" w14:textId="77777777" w:rsidR="00BC5A61" w:rsidRPr="00BC5A61" w:rsidRDefault="00BC5A61" w:rsidP="00BC5A6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BC5A61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3F9DD0" id="_x0000_t202" coordsize="21600,21600" o:spt="202" path="m,l,21600r21600,l21600,xe">
              <v:stroke joinstyle="miter"/>
              <v:path gradientshapeok="t" o:connecttype="rect"/>
            </v:shapetype>
            <v:shape id="MSIPCM2f574fceb02ae97bac468213" o:spid="_x0000_s1026" type="#_x0000_t202" alt="{&quot;HashCode&quot;:439207315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" o:allowincell="f" filled="f" stroked="f" strokeweight=".5pt">
              <v:textbox inset="20pt,0,,0">
                <w:txbxContent>
                  <w:p w14:paraId="0DDE49A5" w14:textId="77777777" w:rsidR="00BC5A61" w:rsidRPr="00BC5A61" w:rsidRDefault="00BC5A61" w:rsidP="00BC5A6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BC5A61">
                      <w:rPr>
                        <w:rFonts w:ascii="Calibri" w:hAnsi="Calibri" w:cs="Calibri"/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58A0C" w14:textId="77777777" w:rsidR="00BC5A61" w:rsidRDefault="00BC5A61" w:rsidP="00BC5A61">
      <w:pPr>
        <w:spacing w:after="0" w:line="240" w:lineRule="auto"/>
      </w:pPr>
      <w:r>
        <w:separator/>
      </w:r>
    </w:p>
  </w:footnote>
  <w:footnote w:type="continuationSeparator" w:id="0">
    <w:p w14:paraId="20DE51FD" w14:textId="77777777" w:rsidR="00BC5A61" w:rsidRDefault="00BC5A61" w:rsidP="00BC5A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04C"/>
    <w:rsid w:val="00191E5B"/>
    <w:rsid w:val="00211855"/>
    <w:rsid w:val="00215934"/>
    <w:rsid w:val="00247E4F"/>
    <w:rsid w:val="00264B4E"/>
    <w:rsid w:val="002C7F7C"/>
    <w:rsid w:val="003957CB"/>
    <w:rsid w:val="0039664F"/>
    <w:rsid w:val="003C4CC0"/>
    <w:rsid w:val="003D5A22"/>
    <w:rsid w:val="00417BD0"/>
    <w:rsid w:val="00432C35"/>
    <w:rsid w:val="00434BF3"/>
    <w:rsid w:val="00461DA0"/>
    <w:rsid w:val="00511734"/>
    <w:rsid w:val="00536B21"/>
    <w:rsid w:val="005A2FDD"/>
    <w:rsid w:val="006076B4"/>
    <w:rsid w:val="00635761"/>
    <w:rsid w:val="0066604C"/>
    <w:rsid w:val="006D5EDC"/>
    <w:rsid w:val="0078569A"/>
    <w:rsid w:val="007C0DF2"/>
    <w:rsid w:val="007E0B6A"/>
    <w:rsid w:val="008F17F4"/>
    <w:rsid w:val="00907F65"/>
    <w:rsid w:val="009E06A6"/>
    <w:rsid w:val="00A90057"/>
    <w:rsid w:val="00AF28D6"/>
    <w:rsid w:val="00B46357"/>
    <w:rsid w:val="00BC5A61"/>
    <w:rsid w:val="00D55C80"/>
    <w:rsid w:val="00DF3260"/>
    <w:rsid w:val="00E63213"/>
    <w:rsid w:val="00EA3819"/>
    <w:rsid w:val="00ED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0100BD1D"/>
  <w15:docId w15:val="{D747BAEE-0236-4074-9537-55642B243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0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604C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F32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32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32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32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326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260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7E0B6A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C5A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5A61"/>
  </w:style>
  <w:style w:type="paragraph" w:styleId="Footer">
    <w:name w:val="footer"/>
    <w:basedOn w:val="Normal"/>
    <w:link w:val="FooterChar"/>
    <w:uiPriority w:val="99"/>
    <w:unhideWhenUsed/>
    <w:rsid w:val="00BC5A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5A61"/>
  </w:style>
  <w:style w:type="paragraph" w:customStyle="1" w:styleId="Default">
    <w:name w:val="Default"/>
    <w:rsid w:val="006D5ED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A38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4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dsecurities.com/tds/document/Best-Execution-Policy-TDG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dsecurities.com/tds/document/Best-Execution-Policy-TDGF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TD Securities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Gomzar, Iurii</dc:creator>
  <cp:keywords>Public</cp:keywords>
  <cp:lastModifiedBy>McFlynn, Conor (he/him/his)</cp:lastModifiedBy>
  <cp:revision>2</cp:revision>
  <cp:lastPrinted>2021-04-29T13:18:00Z</cp:lastPrinted>
  <dcterms:created xsi:type="dcterms:W3CDTF">2023-03-14T12:02:00Z</dcterms:created>
  <dcterms:modified xsi:type="dcterms:W3CDTF">2023-03-14T12:02:00Z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424fc1c6-725d-44fc-8e55-f2eca82d39f1</vt:lpwstr>
  </property>
  <property fmtid="{D5CDD505-2E9C-101B-9397-08002B2CF9AE}" pid="3" name="TDDCSClassification">
    <vt:lpwstr>Public</vt:lpwstr>
  </property>
  <property fmtid="{D5CDD505-2E9C-101B-9397-08002B2CF9AE}" pid="4" name="kjhasxiQ">
    <vt:lpwstr>Public</vt:lpwstr>
  </property>
  <property fmtid="{D5CDD505-2E9C-101B-9397-08002B2CF9AE}" pid="5" name="TD_Classification">
    <vt:lpwstr>Internal</vt:lpwstr>
  </property>
  <property fmtid="{D5CDD505-2E9C-101B-9397-08002B2CF9AE}" pid="6" name="MSIP_Label_88c63503-0fb3-4712-a32e-7ecb4b7d79e8_Enabled">
    <vt:lpwstr>true</vt:lpwstr>
  </property>
  <property fmtid="{D5CDD505-2E9C-101B-9397-08002B2CF9AE}" pid="7" name="MSIP_Label_88c63503-0fb3-4712-a32e-7ecb4b7d79e8_SetDate">
    <vt:lpwstr>2023-03-14T12:02:03Z</vt:lpwstr>
  </property>
  <property fmtid="{D5CDD505-2E9C-101B-9397-08002B2CF9AE}" pid="8" name="MSIP_Label_88c63503-0fb3-4712-a32e-7ecb4b7d79e8_Method">
    <vt:lpwstr>Standard</vt:lpwstr>
  </property>
  <property fmtid="{D5CDD505-2E9C-101B-9397-08002B2CF9AE}" pid="9" name="MSIP_Label_88c63503-0fb3-4712-a32e-7ecb4b7d79e8_Name">
    <vt:lpwstr>88c63503-0fb3-4712-a32e-7ecb4b7d79e8</vt:lpwstr>
  </property>
  <property fmtid="{D5CDD505-2E9C-101B-9397-08002B2CF9AE}" pid="10" name="MSIP_Label_88c63503-0fb3-4712-a32e-7ecb4b7d79e8_SiteId">
    <vt:lpwstr>d9da684f-2c03-432a-a7b6-ed714ffc7683</vt:lpwstr>
  </property>
  <property fmtid="{D5CDD505-2E9C-101B-9397-08002B2CF9AE}" pid="11" name="MSIP_Label_88c63503-0fb3-4712-a32e-7ecb4b7d79e8_ActionId">
    <vt:lpwstr>64081926-ba83-48ae-9b5d-4bb264f6b245</vt:lpwstr>
  </property>
  <property fmtid="{D5CDD505-2E9C-101B-9397-08002B2CF9AE}" pid="12" name="MSIP_Label_88c63503-0fb3-4712-a32e-7ecb4b7d79e8_ContentBits">
    <vt:lpwstr>2</vt:lpwstr>
  </property>
</Properties>
</file>